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22" w:rsidRDefault="008B3C22" w:rsidP="008B3C22">
      <w:pPr>
        <w:spacing w:line="52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8B3C22" w:rsidRDefault="008B3C22" w:rsidP="008B3C22">
      <w:pPr>
        <w:widowControl/>
        <w:spacing w:beforeLines="50" w:afterLines="50"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杭州市营养健康食堂评审标准</w:t>
      </w:r>
    </w:p>
    <w:p w:rsidR="008B3C22" w:rsidRDefault="008B3C22" w:rsidP="008B3C2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6986"/>
        <w:gridCol w:w="775"/>
        <w:gridCol w:w="851"/>
        <w:gridCol w:w="4299"/>
        <w:gridCol w:w="879"/>
      </w:tblGrid>
      <w:tr w:rsidR="008B3C22" w:rsidTr="00592EFB">
        <w:trPr>
          <w:tblHeader/>
          <w:jc w:val="center"/>
        </w:trPr>
        <w:tc>
          <w:tcPr>
            <w:tcW w:w="906"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Cs w:val="21"/>
              </w:rPr>
            </w:pPr>
            <w:r>
              <w:rPr>
                <w:rFonts w:ascii="Times New Roman" w:eastAsia="仿宋"/>
                <w:b/>
                <w:bCs/>
                <w:szCs w:val="21"/>
              </w:rPr>
              <w:t>项目</w:t>
            </w:r>
          </w:p>
        </w:tc>
        <w:tc>
          <w:tcPr>
            <w:tcW w:w="6986"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 w:val="24"/>
                <w:szCs w:val="24"/>
              </w:rPr>
            </w:pPr>
            <w:r>
              <w:rPr>
                <w:rFonts w:ascii="Times New Roman" w:eastAsia="仿宋"/>
                <w:b/>
                <w:bCs/>
                <w:sz w:val="24"/>
                <w:szCs w:val="24"/>
              </w:rPr>
              <w:t>建设内容</w:t>
            </w:r>
          </w:p>
        </w:tc>
        <w:tc>
          <w:tcPr>
            <w:tcW w:w="775"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 w:val="24"/>
                <w:szCs w:val="24"/>
              </w:rPr>
            </w:pPr>
            <w:r>
              <w:rPr>
                <w:rFonts w:ascii="Times New Roman" w:eastAsia="仿宋"/>
                <w:b/>
                <w:bCs/>
                <w:sz w:val="24"/>
                <w:szCs w:val="24"/>
              </w:rPr>
              <w:t>评估方法</w:t>
            </w:r>
          </w:p>
        </w:tc>
        <w:tc>
          <w:tcPr>
            <w:tcW w:w="851"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 w:val="24"/>
                <w:szCs w:val="24"/>
              </w:rPr>
            </w:pPr>
            <w:r>
              <w:rPr>
                <w:rFonts w:ascii="Times New Roman" w:eastAsia="仿宋"/>
                <w:b/>
                <w:bCs/>
                <w:sz w:val="24"/>
                <w:szCs w:val="24"/>
              </w:rPr>
              <w:t>分值</w:t>
            </w:r>
          </w:p>
        </w:tc>
        <w:tc>
          <w:tcPr>
            <w:tcW w:w="4299"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 w:val="24"/>
                <w:szCs w:val="24"/>
              </w:rPr>
            </w:pPr>
            <w:r>
              <w:rPr>
                <w:rFonts w:ascii="Times New Roman" w:eastAsia="仿宋"/>
                <w:b/>
                <w:bCs/>
                <w:sz w:val="24"/>
                <w:szCs w:val="24"/>
              </w:rPr>
              <w:t>评分标准</w:t>
            </w:r>
          </w:p>
        </w:tc>
        <w:tc>
          <w:tcPr>
            <w:tcW w:w="879" w:type="dxa"/>
            <w:tcBorders>
              <w:top w:val="single" w:sz="4" w:space="0" w:color="auto"/>
            </w:tcBorders>
            <w:vAlign w:val="center"/>
          </w:tcPr>
          <w:p w:rsidR="008B3C22" w:rsidRDefault="008B3C22" w:rsidP="00592EFB">
            <w:pPr>
              <w:pStyle w:val="a3"/>
              <w:ind w:firstLineChars="0" w:firstLine="0"/>
              <w:jc w:val="center"/>
              <w:rPr>
                <w:rFonts w:ascii="Times New Roman" w:eastAsia="仿宋"/>
                <w:b/>
                <w:bCs/>
                <w:sz w:val="24"/>
                <w:szCs w:val="24"/>
              </w:rPr>
            </w:pPr>
            <w:r>
              <w:rPr>
                <w:rFonts w:ascii="Times New Roman" w:eastAsia="仿宋"/>
                <w:b/>
                <w:bCs/>
                <w:sz w:val="24"/>
                <w:szCs w:val="24"/>
              </w:rPr>
              <w:t>得分</w:t>
            </w:r>
          </w:p>
        </w:tc>
      </w:tr>
      <w:tr w:rsidR="008B3C22" w:rsidTr="00592EFB">
        <w:trPr>
          <w:trHeight w:val="456"/>
          <w:jc w:val="center"/>
        </w:trPr>
        <w:tc>
          <w:tcPr>
            <w:tcW w:w="906" w:type="dxa"/>
            <w:vMerge w:val="restart"/>
            <w:tcBorders>
              <w:top w:val="single" w:sz="4" w:space="0" w:color="auto"/>
            </w:tcBorders>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必备项</w:t>
            </w:r>
          </w:p>
        </w:tc>
        <w:tc>
          <w:tcPr>
            <w:tcW w:w="6986" w:type="dxa"/>
            <w:tcBorders>
              <w:top w:val="single" w:sz="4" w:space="0" w:color="auto"/>
            </w:tcBorders>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w:t>
            </w:r>
            <w:r>
              <w:rPr>
                <w:rFonts w:ascii="Times New Roman" w:eastAsia="仿宋_GB2312"/>
                <w:snapToGrid w:val="0"/>
                <w:kern w:val="0"/>
                <w:szCs w:val="21"/>
              </w:rPr>
              <w:t>配备专（兼）职营养师</w:t>
            </w:r>
            <w:r>
              <w:rPr>
                <w:rFonts w:ascii="Times New Roman" w:eastAsia="仿宋_GB2312"/>
                <w:snapToGrid w:val="0"/>
                <w:kern w:val="0"/>
                <w:szCs w:val="21"/>
              </w:rPr>
              <w:t>/</w:t>
            </w:r>
            <w:r>
              <w:rPr>
                <w:rFonts w:ascii="Times New Roman" w:eastAsia="仿宋_GB2312"/>
                <w:snapToGrid w:val="0"/>
                <w:kern w:val="0"/>
                <w:szCs w:val="21"/>
              </w:rPr>
              <w:t>营养指导员。</w:t>
            </w:r>
          </w:p>
        </w:tc>
        <w:tc>
          <w:tcPr>
            <w:tcW w:w="775" w:type="dxa"/>
            <w:vMerge w:val="restart"/>
            <w:tcBorders>
              <w:top w:val="single" w:sz="4" w:space="0" w:color="auto"/>
            </w:tcBorders>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查看资料或现场查看</w:t>
            </w:r>
          </w:p>
        </w:tc>
        <w:tc>
          <w:tcPr>
            <w:tcW w:w="851"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99" w:type="dxa"/>
            <w:vMerge w:val="restart"/>
            <w:tcBorders>
              <w:top w:val="single" w:sz="4" w:space="0" w:color="auto"/>
            </w:tcBorders>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任意一条未达到的不予验收。</w:t>
            </w:r>
          </w:p>
        </w:tc>
        <w:tc>
          <w:tcPr>
            <w:tcW w:w="879"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8B3C22" w:rsidTr="00592EFB">
        <w:trPr>
          <w:trHeight w:val="456"/>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tcBorders>
              <w:top w:val="single" w:sz="4" w:space="0" w:color="auto"/>
            </w:tcBorders>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w:t>
            </w:r>
            <w:r>
              <w:rPr>
                <w:rFonts w:ascii="Times New Roman" w:eastAsia="仿宋_GB2312"/>
                <w:snapToGrid w:val="0"/>
                <w:kern w:val="0"/>
                <w:szCs w:val="21"/>
              </w:rPr>
              <w:t>每年开展形式多样的营养健康知识宣传活动。</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99"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79"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8B3C22" w:rsidTr="00592EFB">
        <w:trPr>
          <w:trHeight w:val="456"/>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tcBorders>
              <w:top w:val="single" w:sz="4" w:space="0" w:color="auto"/>
            </w:tcBorders>
            <w:vAlign w:val="center"/>
          </w:tcPr>
          <w:p w:rsidR="008B3C22" w:rsidRDefault="008B3C22" w:rsidP="00592EFB">
            <w:pPr>
              <w:widowControl/>
              <w:jc w:val="left"/>
              <w:rPr>
                <w:rFonts w:ascii="Times New Roman" w:eastAsia="仿宋_GB2312" w:hAnsi="Times New Roman"/>
                <w:snapToGrid w:val="0"/>
                <w:kern w:val="0"/>
                <w:szCs w:val="21"/>
              </w:rPr>
            </w:pPr>
            <w:r>
              <w:rPr>
                <w:rFonts w:ascii="Times New Roman" w:eastAsia="仿宋_GB2312" w:hAnsi="Times New Roman"/>
                <w:snapToGrid w:val="0"/>
                <w:kern w:val="0"/>
                <w:szCs w:val="21"/>
              </w:rPr>
              <w:t>3.</w:t>
            </w:r>
            <w:r>
              <w:rPr>
                <w:rFonts w:ascii="Times New Roman" w:eastAsia="仿宋_GB2312" w:hAnsi="Times New Roman"/>
                <w:snapToGrid w:val="0"/>
                <w:kern w:val="0"/>
                <w:szCs w:val="21"/>
              </w:rPr>
              <w:t>根据国家标准及人群营养需要，制定带有人均食物量的食谱。</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99"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79"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8B3C22" w:rsidTr="00592EFB">
        <w:trPr>
          <w:trHeight w:val="456"/>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tcBorders>
              <w:top w:val="single" w:sz="4" w:space="0" w:color="auto"/>
            </w:tcBorders>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4.</w:t>
            </w:r>
            <w:r>
              <w:rPr>
                <w:rFonts w:ascii="Times New Roman" w:eastAsia="仿宋_GB2312"/>
                <w:snapToGrid w:val="0"/>
                <w:kern w:val="0"/>
                <w:szCs w:val="21"/>
              </w:rPr>
              <w:t>实施</w:t>
            </w:r>
            <w:proofErr w:type="gramStart"/>
            <w:r>
              <w:rPr>
                <w:rFonts w:ascii="Times New Roman" w:eastAsia="仿宋_GB2312"/>
                <w:snapToGrid w:val="0"/>
                <w:kern w:val="0"/>
                <w:szCs w:val="21"/>
              </w:rPr>
              <w:t>减糖减油减</w:t>
            </w:r>
            <w:proofErr w:type="gramEnd"/>
            <w:r>
              <w:rPr>
                <w:rFonts w:ascii="Times New Roman" w:eastAsia="仿宋_GB2312"/>
                <w:snapToGrid w:val="0"/>
                <w:kern w:val="0"/>
                <w:szCs w:val="21"/>
              </w:rPr>
              <w:t>盐行动。</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99"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79" w:type="dxa"/>
            <w:tcBorders>
              <w:top w:val="single" w:sz="4" w:space="0" w:color="auto"/>
            </w:tcBorders>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8B3C22" w:rsidTr="00592EFB">
        <w:trPr>
          <w:trHeight w:val="709"/>
          <w:jc w:val="center"/>
        </w:trPr>
        <w:tc>
          <w:tcPr>
            <w:tcW w:w="906" w:type="dxa"/>
            <w:vMerge w:val="restart"/>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组织</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管理</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10</w:t>
            </w:r>
            <w:r>
              <w:rPr>
                <w:rFonts w:ascii="Times New Roman" w:eastAsia="仿宋"/>
                <w:szCs w:val="21"/>
              </w:rPr>
              <w:t>分</w:t>
            </w: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5.</w:t>
            </w:r>
            <w:r>
              <w:rPr>
                <w:rFonts w:ascii="Times New Roman" w:eastAsia="仿宋_GB2312"/>
                <w:snapToGrid w:val="0"/>
                <w:kern w:val="0"/>
                <w:szCs w:val="21"/>
              </w:rPr>
              <w:t>设立由单位领导、后勤、工会和食堂管理等人员组成的营养健康管理委员会，单位主要领导担任营养健康管理委员会的负责人，明确各岗位职责。</w:t>
            </w:r>
          </w:p>
        </w:tc>
        <w:tc>
          <w:tcPr>
            <w:tcW w:w="775" w:type="dxa"/>
            <w:vMerge w:val="restart"/>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查看资料</w:t>
            </w: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有文件或网络图，得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有建设分工及责任人，得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widowControl/>
              <w:jc w:val="center"/>
              <w:rPr>
                <w:rFonts w:ascii="Times New Roman" w:eastAsia="仿宋" w:hAnsi="Times New Roman"/>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6.</w:t>
            </w:r>
            <w:r>
              <w:rPr>
                <w:rFonts w:ascii="Times New Roman" w:eastAsia="仿宋_GB2312"/>
                <w:snapToGrid w:val="0"/>
                <w:kern w:val="0"/>
                <w:szCs w:val="21"/>
              </w:rPr>
              <w:t>建立营养健康管理制度，围绕合理膳食和减油、减盐、</w:t>
            </w:r>
            <w:proofErr w:type="gramStart"/>
            <w:r>
              <w:rPr>
                <w:rFonts w:ascii="Times New Roman" w:eastAsia="仿宋_GB2312"/>
                <w:snapToGrid w:val="0"/>
                <w:kern w:val="0"/>
                <w:szCs w:val="21"/>
              </w:rPr>
              <w:t>减糖制定</w:t>
            </w:r>
            <w:proofErr w:type="gramEnd"/>
            <w:r>
              <w:rPr>
                <w:rFonts w:ascii="Times New Roman" w:eastAsia="仿宋_GB2312"/>
                <w:snapToGrid w:val="0"/>
                <w:kern w:val="0"/>
                <w:szCs w:val="21"/>
              </w:rPr>
              <w:t>工作计划及实施方案，为营养健康食堂建设提供人员、资金等支持。</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3</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有制度，得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有计划及实施方案，得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lastRenderedPageBreak/>
              <w:t>有支持措施，得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widowControl/>
              <w:jc w:val="center"/>
              <w:rPr>
                <w:rFonts w:ascii="Times New Roman" w:eastAsia="仿宋" w:hAnsi="Times New Roman"/>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7.</w:t>
            </w:r>
            <w:r>
              <w:rPr>
                <w:rFonts w:ascii="Times New Roman" w:eastAsia="仿宋_GB2312"/>
                <w:snapToGrid w:val="0"/>
                <w:kern w:val="0"/>
                <w:szCs w:val="21"/>
              </w:rPr>
              <w:t>建立原材料采购制度，保障食堂所用食材种类丰富、新鲜。</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3</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有原材料采购制度，得</w:t>
            </w:r>
            <w:r>
              <w:rPr>
                <w:rFonts w:ascii="Times New Roman" w:eastAsia="仿宋_GB2312"/>
                <w:snapToGrid w:val="0"/>
                <w:kern w:val="0"/>
                <w:szCs w:val="21"/>
              </w:rPr>
              <w:t>1</w:t>
            </w:r>
            <w:r>
              <w:rPr>
                <w:rFonts w:ascii="Times New Roman" w:eastAsia="仿宋_GB2312"/>
                <w:snapToGrid w:val="0"/>
                <w:kern w:val="0"/>
                <w:szCs w:val="21"/>
              </w:rPr>
              <w:t>分；有原材料采购记录，得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restart"/>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营养</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健康</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教育</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10</w:t>
            </w:r>
            <w:r>
              <w:rPr>
                <w:rFonts w:ascii="Times New Roman" w:eastAsia="仿宋"/>
                <w:szCs w:val="21"/>
              </w:rPr>
              <w:t>分</w:t>
            </w: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8.</w:t>
            </w:r>
            <w:r>
              <w:rPr>
                <w:rFonts w:ascii="Times New Roman" w:eastAsia="仿宋_GB2312"/>
                <w:snapToGrid w:val="0"/>
                <w:kern w:val="0"/>
                <w:szCs w:val="21"/>
              </w:rPr>
              <w:t>食堂内有可取阅的宣传资料，内容包括合理膳食、</w:t>
            </w:r>
            <w:r>
              <w:rPr>
                <w:rFonts w:ascii="Times New Roman" w:eastAsia="仿宋_GB2312"/>
                <w:snapToGrid w:val="0"/>
                <w:kern w:val="0"/>
                <w:szCs w:val="21"/>
              </w:rPr>
              <w:t>“</w:t>
            </w:r>
            <w:r>
              <w:rPr>
                <w:rFonts w:ascii="Times New Roman" w:eastAsia="仿宋_GB2312"/>
                <w:snapToGrid w:val="0"/>
                <w:kern w:val="0"/>
                <w:szCs w:val="21"/>
              </w:rPr>
              <w:t>减盐减油减糖</w:t>
            </w:r>
            <w:r>
              <w:rPr>
                <w:rFonts w:ascii="Times New Roman" w:eastAsia="仿宋_GB2312"/>
                <w:snapToGrid w:val="0"/>
                <w:kern w:val="0"/>
                <w:szCs w:val="21"/>
              </w:rPr>
              <w:t>”</w:t>
            </w:r>
            <w:r>
              <w:rPr>
                <w:rFonts w:ascii="Times New Roman" w:eastAsia="仿宋_GB2312"/>
                <w:snapToGrid w:val="0"/>
                <w:kern w:val="0"/>
                <w:szCs w:val="21"/>
              </w:rPr>
              <w:t>、营养相关慢性病防治、传染病防控、节约粮食等政策和科普知识；在显著位置摆放、张贴或播放营养健康相关宣传资料，并适时更新。</w:t>
            </w:r>
          </w:p>
        </w:tc>
        <w:tc>
          <w:tcPr>
            <w:tcW w:w="775" w:type="dxa"/>
            <w:vMerge w:val="restart"/>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现场查看</w:t>
            </w: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6</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食堂内有可取阅的宣传资料，得</w:t>
            </w:r>
            <w:r>
              <w:rPr>
                <w:rFonts w:ascii="Times New Roman" w:eastAsia="仿宋_GB2312"/>
                <w:snapToGrid w:val="0"/>
                <w:kern w:val="0"/>
                <w:szCs w:val="21"/>
              </w:rPr>
              <w:t>2</w:t>
            </w:r>
            <w:r>
              <w:rPr>
                <w:rFonts w:ascii="Times New Roman" w:eastAsia="仿宋_GB2312"/>
                <w:snapToGrid w:val="0"/>
                <w:kern w:val="0"/>
                <w:szCs w:val="21"/>
              </w:rPr>
              <w:t>分；在显著位置摆放、张贴或播放营养健康相关宣传资料，得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营养健康宣传资料内容中有当下热点信息</w:t>
            </w:r>
            <w:r>
              <w:rPr>
                <w:rFonts w:ascii="Times New Roman" w:eastAsia="仿宋_GB2312"/>
                <w:snapToGrid w:val="0"/>
                <w:kern w:val="0"/>
                <w:szCs w:val="21"/>
              </w:rPr>
              <w:t>/</w:t>
            </w:r>
            <w:r>
              <w:rPr>
                <w:rFonts w:ascii="Times New Roman" w:eastAsia="仿宋_GB2312"/>
                <w:snapToGrid w:val="0"/>
                <w:kern w:val="0"/>
                <w:szCs w:val="21"/>
              </w:rPr>
              <w:t>新知识，得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9.</w:t>
            </w:r>
            <w:r>
              <w:rPr>
                <w:rFonts w:ascii="Times New Roman" w:eastAsia="仿宋_GB2312"/>
                <w:snapToGrid w:val="0"/>
                <w:kern w:val="0"/>
                <w:szCs w:val="21"/>
              </w:rPr>
              <w:t>以食堂为主体组织开展营养健康专题讲座、知识问答和厨艺大赛等膳食营养相关宣传活动，每年不少于</w:t>
            </w:r>
            <w:r>
              <w:rPr>
                <w:rFonts w:ascii="Times New Roman" w:eastAsia="仿宋_GB2312"/>
                <w:snapToGrid w:val="0"/>
                <w:kern w:val="0"/>
                <w:szCs w:val="21"/>
              </w:rPr>
              <w:t>2</w:t>
            </w:r>
            <w:r>
              <w:rPr>
                <w:rFonts w:ascii="Times New Roman" w:eastAsia="仿宋_GB2312"/>
                <w:snapToGrid w:val="0"/>
                <w:kern w:val="0"/>
                <w:szCs w:val="21"/>
              </w:rPr>
              <w:t>次。</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每年开展</w:t>
            </w:r>
            <w:r>
              <w:rPr>
                <w:rFonts w:ascii="Times New Roman" w:eastAsia="仿宋_GB2312"/>
                <w:snapToGrid w:val="0"/>
                <w:kern w:val="0"/>
                <w:szCs w:val="21"/>
              </w:rPr>
              <w:t>2</w:t>
            </w:r>
            <w:r>
              <w:rPr>
                <w:rFonts w:ascii="Times New Roman" w:eastAsia="仿宋_GB2312"/>
                <w:snapToGrid w:val="0"/>
                <w:kern w:val="0"/>
                <w:szCs w:val="21"/>
              </w:rPr>
              <w:t>次以上膳食营养相关宣传活动，得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497"/>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10.</w:t>
            </w:r>
            <w:r>
              <w:rPr>
                <w:rFonts w:ascii="Times New Roman" w:eastAsia="仿宋_GB2312"/>
                <w:snapToGrid w:val="0"/>
                <w:kern w:val="0"/>
                <w:szCs w:val="21"/>
              </w:rPr>
              <w:t>设立</w:t>
            </w:r>
            <w:r>
              <w:rPr>
                <w:rFonts w:ascii="Times New Roman" w:eastAsia="仿宋_GB2312"/>
                <w:snapToGrid w:val="0"/>
                <w:kern w:val="0"/>
                <w:szCs w:val="21"/>
              </w:rPr>
              <w:t>“</w:t>
            </w:r>
            <w:r>
              <w:rPr>
                <w:rFonts w:ascii="Times New Roman" w:eastAsia="仿宋_GB2312"/>
                <w:snapToGrid w:val="0"/>
                <w:kern w:val="0"/>
                <w:szCs w:val="21"/>
              </w:rPr>
              <w:t>营养健康角</w:t>
            </w:r>
            <w:r>
              <w:rPr>
                <w:rFonts w:ascii="Times New Roman" w:eastAsia="仿宋_GB2312"/>
                <w:snapToGrid w:val="0"/>
                <w:kern w:val="0"/>
                <w:szCs w:val="21"/>
              </w:rPr>
              <w:t>”</w:t>
            </w:r>
            <w:r>
              <w:rPr>
                <w:rFonts w:ascii="Times New Roman" w:eastAsia="仿宋_GB2312"/>
                <w:snapToGrid w:val="0"/>
                <w:kern w:val="0"/>
                <w:szCs w:val="21"/>
              </w:rPr>
              <w:t>，摆放测量身高、体重、血压等设备，张贴自测自评方法，定期对设备进行维护。</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设立营养健康角，有相应设备并定期维护，得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张贴自测自评方法，得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488"/>
          <w:jc w:val="center"/>
        </w:trPr>
        <w:tc>
          <w:tcPr>
            <w:tcW w:w="906" w:type="dxa"/>
            <w:vMerge w:val="restart"/>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供餐</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服务</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45</w:t>
            </w:r>
            <w:r>
              <w:rPr>
                <w:rFonts w:ascii="Times New Roman" w:eastAsia="仿宋"/>
                <w:szCs w:val="21"/>
              </w:rPr>
              <w:t>分</w:t>
            </w: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11.</w:t>
            </w:r>
            <w:r>
              <w:rPr>
                <w:rFonts w:ascii="Times New Roman" w:eastAsia="仿宋_GB2312"/>
                <w:snapToGrid w:val="0"/>
                <w:kern w:val="0"/>
                <w:szCs w:val="21"/>
              </w:rPr>
              <w:t>制定合理膳食营养配餐计划，一周内食谱不重复，每一餐食谱中至少提供</w:t>
            </w:r>
            <w:r>
              <w:rPr>
                <w:rFonts w:ascii="Times New Roman" w:eastAsia="仿宋_GB2312"/>
                <w:snapToGrid w:val="0"/>
                <w:kern w:val="0"/>
                <w:szCs w:val="21"/>
              </w:rPr>
              <w:t>3</w:t>
            </w:r>
            <w:r>
              <w:rPr>
                <w:rFonts w:ascii="Times New Roman" w:eastAsia="仿宋_GB2312"/>
                <w:snapToGrid w:val="0"/>
                <w:kern w:val="0"/>
                <w:szCs w:val="21"/>
              </w:rPr>
              <w:t>类食物（不包括调味品和植物油），食物种类数达到每周至少</w:t>
            </w:r>
            <w:r>
              <w:rPr>
                <w:rFonts w:ascii="Times New Roman" w:eastAsia="仿宋_GB2312"/>
                <w:snapToGrid w:val="0"/>
                <w:kern w:val="0"/>
                <w:szCs w:val="21"/>
              </w:rPr>
              <w:t>25</w:t>
            </w:r>
            <w:r>
              <w:rPr>
                <w:rFonts w:ascii="Times New Roman" w:eastAsia="仿宋_GB2312"/>
                <w:snapToGrid w:val="0"/>
                <w:kern w:val="0"/>
                <w:szCs w:val="21"/>
              </w:rPr>
              <w:t>种以上（</w:t>
            </w:r>
            <w:proofErr w:type="gramStart"/>
            <w:r>
              <w:rPr>
                <w:rFonts w:ascii="Times New Roman" w:eastAsia="仿宋_GB2312"/>
                <w:snapToGrid w:val="0"/>
                <w:kern w:val="0"/>
                <w:szCs w:val="21"/>
              </w:rPr>
              <w:t>谷薯杂豆类</w:t>
            </w:r>
            <w:proofErr w:type="gramEnd"/>
            <w:r>
              <w:rPr>
                <w:rFonts w:ascii="Times New Roman" w:eastAsia="仿宋_GB2312"/>
                <w:snapToGrid w:val="0"/>
                <w:kern w:val="0"/>
                <w:szCs w:val="21"/>
              </w:rPr>
              <w:t>5</w:t>
            </w:r>
            <w:r>
              <w:rPr>
                <w:rFonts w:ascii="Times New Roman" w:eastAsia="仿宋_GB2312"/>
                <w:snapToGrid w:val="0"/>
                <w:kern w:val="0"/>
                <w:szCs w:val="21"/>
              </w:rPr>
              <w:t>种，新鲜蔬菜</w:t>
            </w:r>
            <w:r>
              <w:rPr>
                <w:rFonts w:ascii="Times New Roman" w:eastAsia="仿宋_GB2312"/>
                <w:snapToGrid w:val="0"/>
                <w:kern w:val="0"/>
                <w:szCs w:val="21"/>
              </w:rPr>
              <w:t>10</w:t>
            </w:r>
            <w:r>
              <w:rPr>
                <w:rFonts w:ascii="Times New Roman" w:eastAsia="仿宋_GB2312"/>
                <w:snapToGrid w:val="0"/>
                <w:kern w:val="0"/>
                <w:szCs w:val="21"/>
              </w:rPr>
              <w:t>种，水产禽畜蛋类</w:t>
            </w:r>
            <w:r>
              <w:rPr>
                <w:rFonts w:ascii="Times New Roman" w:eastAsia="仿宋_GB2312"/>
                <w:snapToGrid w:val="0"/>
                <w:kern w:val="0"/>
                <w:szCs w:val="21"/>
              </w:rPr>
              <w:t>5</w:t>
            </w:r>
            <w:r>
              <w:rPr>
                <w:rFonts w:ascii="Times New Roman" w:eastAsia="仿宋_GB2312"/>
                <w:snapToGrid w:val="0"/>
                <w:kern w:val="0"/>
                <w:szCs w:val="21"/>
              </w:rPr>
              <w:t>种，奶及大豆类</w:t>
            </w:r>
            <w:r>
              <w:rPr>
                <w:rFonts w:ascii="Times New Roman" w:eastAsia="仿宋_GB2312"/>
                <w:snapToGrid w:val="0"/>
                <w:kern w:val="0"/>
                <w:szCs w:val="21"/>
              </w:rPr>
              <w:t>5</w:t>
            </w:r>
            <w:r>
              <w:rPr>
                <w:rFonts w:ascii="Times New Roman" w:eastAsia="仿宋_GB2312"/>
                <w:snapToGrid w:val="0"/>
                <w:kern w:val="0"/>
                <w:szCs w:val="21"/>
              </w:rPr>
              <w:t>种），鼓励提供水果。</w:t>
            </w:r>
          </w:p>
        </w:tc>
        <w:tc>
          <w:tcPr>
            <w:tcW w:w="775" w:type="dxa"/>
            <w:vMerge w:val="restart"/>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现场查看，查看资料</w:t>
            </w: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有配餐计划及一周食谱，得</w:t>
            </w:r>
            <w:r>
              <w:rPr>
                <w:rFonts w:ascii="Times New Roman" w:eastAsia="仿宋_GB2312"/>
                <w:snapToGrid w:val="0"/>
                <w:kern w:val="0"/>
                <w:szCs w:val="21"/>
              </w:rPr>
              <w:t>3</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一周内食谱不重复，得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每一餐食谱中食物均在</w:t>
            </w:r>
            <w:r>
              <w:rPr>
                <w:rFonts w:ascii="Times New Roman" w:eastAsia="仿宋_GB2312"/>
                <w:snapToGrid w:val="0"/>
                <w:kern w:val="0"/>
                <w:szCs w:val="21"/>
              </w:rPr>
              <w:t>3</w:t>
            </w:r>
            <w:r>
              <w:rPr>
                <w:rFonts w:ascii="Times New Roman" w:eastAsia="仿宋_GB2312"/>
                <w:snapToGrid w:val="0"/>
                <w:kern w:val="0"/>
                <w:szCs w:val="21"/>
              </w:rPr>
              <w:t>类以上，得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一周食谱中食物种类数达到</w:t>
            </w:r>
            <w:r>
              <w:rPr>
                <w:rFonts w:ascii="Times New Roman" w:eastAsia="仿宋_GB2312"/>
                <w:snapToGrid w:val="0"/>
                <w:kern w:val="0"/>
                <w:szCs w:val="21"/>
              </w:rPr>
              <w:t>25</w:t>
            </w:r>
            <w:r>
              <w:rPr>
                <w:rFonts w:ascii="Times New Roman" w:eastAsia="仿宋_GB2312"/>
                <w:snapToGrid w:val="0"/>
                <w:kern w:val="0"/>
                <w:szCs w:val="21"/>
              </w:rPr>
              <w:t>种以上，得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提供水果，得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488"/>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12.</w:t>
            </w:r>
            <w:r>
              <w:rPr>
                <w:rFonts w:ascii="Times New Roman" w:eastAsia="仿宋_GB2312"/>
                <w:snapToGrid w:val="0"/>
                <w:kern w:val="0"/>
                <w:szCs w:val="21"/>
              </w:rPr>
              <w:t>进行油盐糖使用量管理。每周计算人均摄入量并定期公示。每人每日食盐摄入量不高于</w:t>
            </w:r>
            <w:r>
              <w:rPr>
                <w:rFonts w:ascii="Times New Roman" w:eastAsia="仿宋_GB2312"/>
                <w:snapToGrid w:val="0"/>
                <w:kern w:val="0"/>
                <w:szCs w:val="21"/>
              </w:rPr>
              <w:t>5g</w:t>
            </w:r>
            <w:r>
              <w:rPr>
                <w:rFonts w:ascii="Times New Roman" w:eastAsia="仿宋_GB2312"/>
                <w:snapToGrid w:val="0"/>
                <w:kern w:val="0"/>
                <w:szCs w:val="21"/>
              </w:rPr>
              <w:t>，每人每日食用油摄入量不高于</w:t>
            </w:r>
            <w:r>
              <w:rPr>
                <w:rFonts w:ascii="Times New Roman" w:eastAsia="仿宋_GB2312"/>
                <w:snapToGrid w:val="0"/>
                <w:kern w:val="0"/>
                <w:szCs w:val="21"/>
              </w:rPr>
              <w:t>25</w:t>
            </w:r>
            <w:r>
              <w:rPr>
                <w:rFonts w:ascii="Times New Roman" w:eastAsia="仿宋_GB2312"/>
                <w:snapToGrid w:val="0"/>
                <w:kern w:val="0"/>
                <w:szCs w:val="21"/>
              </w:rPr>
              <w:t>～</w:t>
            </w:r>
            <w:r>
              <w:rPr>
                <w:rFonts w:ascii="Times New Roman" w:eastAsia="仿宋_GB2312"/>
                <w:snapToGrid w:val="0"/>
                <w:kern w:val="0"/>
                <w:szCs w:val="21"/>
              </w:rPr>
              <w:t>30g</w:t>
            </w:r>
            <w:r>
              <w:rPr>
                <w:rFonts w:ascii="Times New Roman" w:eastAsia="仿宋_GB2312"/>
                <w:snapToGrid w:val="0"/>
                <w:kern w:val="0"/>
                <w:szCs w:val="21"/>
              </w:rPr>
              <w:t>，每人每日添加糖摄入量不高于</w:t>
            </w:r>
            <w:r>
              <w:rPr>
                <w:rFonts w:ascii="Times New Roman" w:eastAsia="仿宋_GB2312"/>
                <w:snapToGrid w:val="0"/>
                <w:kern w:val="0"/>
                <w:szCs w:val="21"/>
              </w:rPr>
              <w:t>25g</w:t>
            </w:r>
            <w:r>
              <w:rPr>
                <w:rFonts w:ascii="Times New Roman" w:eastAsia="仿宋_GB2312"/>
                <w:snapToGrid w:val="0"/>
                <w:kern w:val="0"/>
                <w:szCs w:val="21"/>
              </w:rPr>
              <w:t>。未达到限量目标时应逐步减少使用量。</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有油盐</w:t>
            </w:r>
            <w:proofErr w:type="gramStart"/>
            <w:r>
              <w:rPr>
                <w:rFonts w:ascii="Times New Roman" w:eastAsia="仿宋_GB2312"/>
                <w:snapToGrid w:val="0"/>
                <w:kern w:val="0"/>
                <w:szCs w:val="21"/>
              </w:rPr>
              <w:t>糖使用</w:t>
            </w:r>
            <w:proofErr w:type="gramEnd"/>
            <w:r>
              <w:rPr>
                <w:rFonts w:ascii="Times New Roman" w:eastAsia="仿宋_GB2312"/>
                <w:snapToGrid w:val="0"/>
                <w:kern w:val="0"/>
                <w:szCs w:val="21"/>
              </w:rPr>
              <w:t>管理相关资料，得</w:t>
            </w:r>
            <w:r>
              <w:rPr>
                <w:rFonts w:ascii="Times New Roman" w:eastAsia="仿宋_GB2312"/>
                <w:snapToGrid w:val="0"/>
                <w:kern w:val="0"/>
                <w:szCs w:val="21"/>
              </w:rPr>
              <w:t>4</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油盐</w:t>
            </w:r>
            <w:proofErr w:type="gramStart"/>
            <w:r>
              <w:rPr>
                <w:rFonts w:ascii="Times New Roman" w:eastAsia="仿宋_GB2312"/>
                <w:snapToGrid w:val="0"/>
                <w:kern w:val="0"/>
                <w:szCs w:val="21"/>
              </w:rPr>
              <w:t>糖各项</w:t>
            </w:r>
            <w:proofErr w:type="gramEnd"/>
            <w:r>
              <w:rPr>
                <w:rFonts w:ascii="Times New Roman" w:eastAsia="仿宋_GB2312"/>
                <w:snapToGrid w:val="0"/>
                <w:kern w:val="0"/>
                <w:szCs w:val="21"/>
              </w:rPr>
              <w:t>指标达到推荐限量目标，各得</w:t>
            </w:r>
            <w:r>
              <w:rPr>
                <w:rFonts w:ascii="Times New Roman" w:eastAsia="仿宋_GB2312"/>
                <w:snapToGrid w:val="0"/>
                <w:kern w:val="0"/>
                <w:szCs w:val="21"/>
              </w:rPr>
              <w:t>2</w:t>
            </w:r>
            <w:r>
              <w:rPr>
                <w:rFonts w:ascii="Times New Roman" w:eastAsia="仿宋_GB2312"/>
                <w:snapToGrid w:val="0"/>
                <w:kern w:val="0"/>
                <w:szCs w:val="21"/>
              </w:rPr>
              <w:t>分，每项指标未达到限量但持续下降，各得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488"/>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13.</w:t>
            </w:r>
            <w:r>
              <w:rPr>
                <w:rFonts w:ascii="Times New Roman" w:eastAsia="仿宋_GB2312"/>
                <w:snapToGrid w:val="0"/>
                <w:kern w:val="0"/>
                <w:szCs w:val="21"/>
              </w:rPr>
              <w:t>关注服务人群奶类等优质蛋白质、碘盐等重点营养素摄入。</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有重点营养素强化摄入管理相关举措，得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服务人群重点营养素摄入符合推荐摄入量，得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14.</w:t>
            </w:r>
            <w:r>
              <w:rPr>
                <w:rFonts w:ascii="Times New Roman" w:eastAsia="仿宋_GB2312"/>
                <w:snapToGrid w:val="0"/>
                <w:kern w:val="0"/>
                <w:szCs w:val="21"/>
              </w:rPr>
              <w:t>采用健康烹饪方法。各种原料应先洗后切。优先采用蒸、煮、炖等可减少营养成分损失和保持自然风味的烹饪方法，少用炸、煎、熏、烤等烹饪方式</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一周食谱中采用蒸、煮、炖等烹饪方式的菜品达到</w:t>
            </w:r>
            <w:r>
              <w:rPr>
                <w:rFonts w:ascii="Times New Roman" w:eastAsia="仿宋_GB2312"/>
                <w:snapToGrid w:val="0"/>
                <w:kern w:val="0"/>
                <w:szCs w:val="21"/>
              </w:rPr>
              <w:t>1/3</w:t>
            </w:r>
            <w:r>
              <w:rPr>
                <w:rFonts w:ascii="Times New Roman" w:eastAsia="仿宋_GB2312"/>
                <w:snapToGrid w:val="0"/>
                <w:kern w:val="0"/>
                <w:szCs w:val="21"/>
              </w:rPr>
              <w:t>，得</w:t>
            </w:r>
            <w:r>
              <w:rPr>
                <w:rFonts w:ascii="Times New Roman" w:eastAsia="仿宋_GB2312"/>
                <w:snapToGrid w:val="0"/>
                <w:kern w:val="0"/>
                <w:szCs w:val="21"/>
              </w:rPr>
              <w:t>2</w:t>
            </w:r>
            <w:r>
              <w:rPr>
                <w:rFonts w:ascii="Times New Roman" w:eastAsia="仿宋_GB2312"/>
                <w:snapToGrid w:val="0"/>
                <w:kern w:val="0"/>
                <w:szCs w:val="21"/>
              </w:rPr>
              <w:t>分；采用炸、煎、熏、烤等烹饪方式的菜品少于</w:t>
            </w:r>
            <w:r>
              <w:rPr>
                <w:rFonts w:ascii="Times New Roman" w:eastAsia="仿宋_GB2312"/>
                <w:snapToGrid w:val="0"/>
                <w:kern w:val="0"/>
                <w:szCs w:val="21"/>
              </w:rPr>
              <w:t>1/3</w:t>
            </w:r>
            <w:r>
              <w:rPr>
                <w:rFonts w:ascii="Times New Roman" w:eastAsia="仿宋_GB2312"/>
                <w:snapToGrid w:val="0"/>
                <w:kern w:val="0"/>
                <w:szCs w:val="21"/>
              </w:rPr>
              <w:t>，得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15.</w:t>
            </w:r>
            <w:r>
              <w:rPr>
                <w:rFonts w:ascii="Times New Roman" w:eastAsia="仿宋_GB2312"/>
                <w:snapToGrid w:val="0"/>
                <w:kern w:val="0"/>
                <w:szCs w:val="21"/>
              </w:rPr>
              <w:t>减少使用腌腊制品、动物油脂烹调食物。使用多种植物油。不用或少用氢化植物油，如使用应进行公示。</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3</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使用熏制、腌制食品一周不足</w:t>
            </w:r>
            <w:r>
              <w:rPr>
                <w:rFonts w:ascii="Times New Roman" w:eastAsia="仿宋_GB2312"/>
                <w:snapToGrid w:val="0"/>
                <w:kern w:val="0"/>
                <w:szCs w:val="21"/>
              </w:rPr>
              <w:t>3</w:t>
            </w:r>
            <w:r>
              <w:rPr>
                <w:rFonts w:ascii="Times New Roman" w:eastAsia="仿宋_GB2312"/>
                <w:snapToGrid w:val="0"/>
                <w:kern w:val="0"/>
                <w:szCs w:val="21"/>
              </w:rPr>
              <w:t>次，得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用油情况符合要求，得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917"/>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16.</w:t>
            </w:r>
            <w:r>
              <w:rPr>
                <w:rFonts w:ascii="Times New Roman" w:eastAsia="仿宋_GB2312"/>
                <w:snapToGrid w:val="0"/>
                <w:kern w:val="0"/>
                <w:szCs w:val="21"/>
              </w:rPr>
              <w:t>减少高盐、高糖及高脂食品供应，进行相应的健康风险提示。食堂提供自制饮料或甜品时，应标示添加糖含量。</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食堂无含糖饮料售卖，得</w:t>
            </w:r>
            <w:r>
              <w:rPr>
                <w:rFonts w:ascii="Times New Roman" w:eastAsia="仿宋_GB2312" w:hint="eastAsia"/>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无其他高盐、高脂食品供应，得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有三</w:t>
            </w:r>
            <w:proofErr w:type="gramStart"/>
            <w:r>
              <w:rPr>
                <w:rFonts w:ascii="Times New Roman" w:eastAsia="仿宋_GB2312"/>
                <w:snapToGrid w:val="0"/>
                <w:kern w:val="0"/>
                <w:szCs w:val="21"/>
              </w:rPr>
              <w:t>高食品</w:t>
            </w:r>
            <w:proofErr w:type="gramEnd"/>
            <w:r>
              <w:rPr>
                <w:rFonts w:ascii="Times New Roman" w:eastAsia="仿宋_GB2312"/>
                <w:snapToGrid w:val="0"/>
                <w:kern w:val="0"/>
                <w:szCs w:val="21"/>
              </w:rPr>
              <w:t>供应，但具备相应健康风险提示，得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无自制饮料甜品或在自制食品标注添加糖含量，得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991"/>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17.</w:t>
            </w:r>
            <w:r>
              <w:rPr>
                <w:rFonts w:ascii="Times New Roman" w:eastAsia="仿宋_GB2312"/>
                <w:snapToGrid w:val="0"/>
                <w:kern w:val="0"/>
                <w:szCs w:val="21"/>
              </w:rPr>
              <w:t>提供套餐或份饭的食堂在显著位置公布带量食谱及营养标识。自由取餐的食堂在显著位置公布营养标识，鼓励公布带量食谱。</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在显著位置公布套餐</w:t>
            </w:r>
            <w:r>
              <w:rPr>
                <w:rFonts w:ascii="Times New Roman" w:eastAsia="仿宋_GB2312"/>
                <w:snapToGrid w:val="0"/>
                <w:kern w:val="0"/>
                <w:szCs w:val="21"/>
              </w:rPr>
              <w:t>/</w:t>
            </w:r>
            <w:r>
              <w:rPr>
                <w:rFonts w:ascii="Times New Roman" w:eastAsia="仿宋_GB2312"/>
                <w:snapToGrid w:val="0"/>
                <w:kern w:val="0"/>
                <w:szCs w:val="21"/>
              </w:rPr>
              <w:t>份饭带量食谱，得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经测评科学合理，得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公布营养标识，得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标识科学规范，得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18.</w:t>
            </w:r>
            <w:r>
              <w:rPr>
                <w:rFonts w:ascii="Times New Roman" w:eastAsia="仿宋_GB2312"/>
                <w:snapToGrid w:val="0"/>
                <w:kern w:val="0"/>
                <w:szCs w:val="21"/>
              </w:rPr>
              <w:t>采用分餐制供餐。自由取餐的食堂要为每道菜品配备公筷、公勺或公夹。提供桌餐服务的食堂要配备公筷、公勺等分餐工具，并引导用餐人员使用。</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分餐供餐或配备公筷、公勺等分餐工具，得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19.</w:t>
            </w:r>
            <w:r>
              <w:rPr>
                <w:rFonts w:ascii="Times New Roman" w:eastAsia="仿宋_GB2312"/>
                <w:snapToGrid w:val="0"/>
                <w:kern w:val="0"/>
                <w:szCs w:val="21"/>
              </w:rPr>
              <w:t>打造智慧食堂，使用智能化系统，指导配餐和用餐，提供个性化用餐服务。</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使用智能化系统指导配餐和用餐，得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提供个性化用餐服务，得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20.</w:t>
            </w:r>
            <w:r>
              <w:rPr>
                <w:rFonts w:ascii="Times New Roman" w:eastAsia="仿宋_GB2312"/>
                <w:snapToGrid w:val="0"/>
                <w:kern w:val="0"/>
                <w:szCs w:val="21"/>
              </w:rPr>
              <w:t>食堂向肥胖、高血压、糖尿病等特殊人群提供特色营养配餐（医院中为病人设计的营养配餐不属于此范围）。</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提供针对特殊人群的营养套餐，得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restart"/>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人员</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要求</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15</w:t>
            </w:r>
            <w:r>
              <w:rPr>
                <w:rFonts w:ascii="Times New Roman" w:eastAsia="仿宋"/>
                <w:szCs w:val="21"/>
              </w:rPr>
              <w:t>分</w:t>
            </w: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21.</w:t>
            </w:r>
            <w:r>
              <w:rPr>
                <w:rFonts w:ascii="Times New Roman" w:eastAsia="仿宋_GB2312"/>
                <w:snapToGrid w:val="0"/>
                <w:kern w:val="0"/>
                <w:szCs w:val="21"/>
              </w:rPr>
              <w:t>营养指导员应指导</w:t>
            </w:r>
            <w:r>
              <w:rPr>
                <w:rFonts w:ascii="Times New Roman" w:eastAsia="仿宋_GB2312" w:hint="eastAsia"/>
                <w:snapToGrid w:val="0"/>
                <w:kern w:val="0"/>
                <w:szCs w:val="21"/>
              </w:rPr>
              <w:t>食堂</w:t>
            </w:r>
            <w:r>
              <w:rPr>
                <w:rFonts w:ascii="Times New Roman" w:eastAsia="仿宋_GB2312"/>
                <w:snapToGrid w:val="0"/>
                <w:kern w:val="0"/>
                <w:szCs w:val="21"/>
              </w:rPr>
              <w:t>采购、配料和加工，制定菜品营养标识，制定菜单和菜品制作标准，开展营养教育，指导用餐对象合理选餐，定期组织从业人员进行营养健康知识和技能培训。</w:t>
            </w:r>
          </w:p>
        </w:tc>
        <w:tc>
          <w:tcPr>
            <w:tcW w:w="775" w:type="dxa"/>
            <w:vMerge w:val="restart"/>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现场询问，查看资料</w:t>
            </w: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指导采购，得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指导配餐，具备菜谱，得</w:t>
            </w:r>
            <w:r>
              <w:rPr>
                <w:rFonts w:ascii="Times New Roman" w:eastAsia="仿宋_GB2312"/>
                <w:snapToGrid w:val="0"/>
                <w:kern w:val="0"/>
                <w:szCs w:val="21"/>
              </w:rPr>
              <w:t>4</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指导制定菜品营养标识，得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开展营养教育与培训工作，得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568"/>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22.</w:t>
            </w:r>
            <w:r>
              <w:rPr>
                <w:rFonts w:ascii="Times New Roman" w:eastAsia="仿宋_GB2312"/>
                <w:snapToGrid w:val="0"/>
                <w:kern w:val="0"/>
                <w:szCs w:val="21"/>
              </w:rPr>
              <w:t>营养指导员每年完成规定学时的培训，具备培训证书；</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厨师</w:t>
            </w:r>
            <w:proofErr w:type="gramStart"/>
            <w:r>
              <w:rPr>
                <w:rFonts w:ascii="Times New Roman" w:eastAsia="仿宋_GB2312"/>
                <w:snapToGrid w:val="0"/>
                <w:kern w:val="0"/>
                <w:szCs w:val="21"/>
              </w:rPr>
              <w:t>应接受低盐</w:t>
            </w:r>
            <w:proofErr w:type="gramEnd"/>
            <w:r>
              <w:rPr>
                <w:rFonts w:ascii="Times New Roman" w:eastAsia="仿宋_GB2312"/>
                <w:snapToGrid w:val="0"/>
                <w:kern w:val="0"/>
                <w:szCs w:val="21"/>
              </w:rPr>
              <w:t>、少油、低糖菜肴制作技能培训。</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营养指导员每年完成规定学时的培训，得</w:t>
            </w:r>
            <w:r>
              <w:rPr>
                <w:rFonts w:ascii="Times New Roman" w:eastAsia="仿宋_GB2312"/>
                <w:snapToGrid w:val="0"/>
                <w:kern w:val="0"/>
                <w:szCs w:val="21"/>
              </w:rPr>
              <w:t>3</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厨师完成年度培训，得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1435"/>
          <w:jc w:val="center"/>
        </w:trPr>
        <w:tc>
          <w:tcPr>
            <w:tcW w:w="906" w:type="dxa"/>
            <w:vMerge w:val="restart"/>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影响</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评估</w:t>
            </w:r>
          </w:p>
          <w:p w:rsidR="008B3C22" w:rsidRDefault="008B3C22" w:rsidP="00592EFB">
            <w:pPr>
              <w:pStyle w:val="a3"/>
              <w:ind w:firstLineChars="0" w:firstLine="0"/>
              <w:jc w:val="center"/>
              <w:rPr>
                <w:rFonts w:ascii="Times New Roman" w:eastAsia="仿宋"/>
                <w:szCs w:val="21"/>
              </w:rPr>
            </w:pPr>
            <w:r>
              <w:rPr>
                <w:rFonts w:ascii="Times New Roman" w:eastAsia="仿宋"/>
                <w:szCs w:val="21"/>
              </w:rPr>
              <w:t>20</w:t>
            </w:r>
            <w:r>
              <w:rPr>
                <w:rFonts w:ascii="Times New Roman" w:eastAsia="仿宋"/>
                <w:szCs w:val="21"/>
              </w:rPr>
              <w:t>分</w:t>
            </w: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23.</w:t>
            </w:r>
            <w:r>
              <w:rPr>
                <w:rFonts w:ascii="Times New Roman" w:eastAsia="仿宋_GB2312"/>
                <w:snapToGrid w:val="0"/>
                <w:kern w:val="0"/>
                <w:szCs w:val="21"/>
              </w:rPr>
              <w:t>定期对用餐人员以及食堂员工的营养健康</w:t>
            </w:r>
            <w:proofErr w:type="gramStart"/>
            <w:r>
              <w:rPr>
                <w:rFonts w:ascii="Times New Roman" w:eastAsia="仿宋_GB2312"/>
                <w:snapToGrid w:val="0"/>
                <w:kern w:val="0"/>
                <w:szCs w:val="21"/>
              </w:rPr>
              <w:t>相关知信行</w:t>
            </w:r>
            <w:proofErr w:type="gramEnd"/>
            <w:r>
              <w:rPr>
                <w:rFonts w:ascii="Times New Roman" w:eastAsia="仿宋_GB2312"/>
                <w:snapToGrid w:val="0"/>
                <w:kern w:val="0"/>
                <w:szCs w:val="21"/>
              </w:rPr>
              <w:t>情况、膳食结构包括油盐糖摄入量、健康状况等实施调查。</w:t>
            </w:r>
          </w:p>
        </w:tc>
        <w:tc>
          <w:tcPr>
            <w:tcW w:w="775" w:type="dxa"/>
            <w:vMerge w:val="restart"/>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现场询问，查看资料</w:t>
            </w: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开展用餐人员营养健康知晓率调查，得</w:t>
            </w:r>
            <w:r>
              <w:rPr>
                <w:rFonts w:ascii="Times New Roman" w:eastAsia="仿宋_GB2312"/>
                <w:snapToGrid w:val="0"/>
                <w:kern w:val="0"/>
                <w:szCs w:val="21"/>
              </w:rPr>
              <w:t>2</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开展食堂员工营养</w:t>
            </w:r>
            <w:proofErr w:type="gramStart"/>
            <w:r>
              <w:rPr>
                <w:rFonts w:ascii="Times New Roman" w:eastAsia="仿宋_GB2312"/>
                <w:snapToGrid w:val="0"/>
                <w:kern w:val="0"/>
                <w:szCs w:val="21"/>
              </w:rPr>
              <w:t>健康知信</w:t>
            </w:r>
            <w:proofErr w:type="gramEnd"/>
            <w:r>
              <w:rPr>
                <w:rFonts w:ascii="Times New Roman" w:eastAsia="仿宋_GB2312"/>
                <w:snapToGrid w:val="0"/>
                <w:kern w:val="0"/>
                <w:szCs w:val="21"/>
              </w:rPr>
              <w:t>行调查，得</w:t>
            </w:r>
            <w:r>
              <w:rPr>
                <w:rFonts w:ascii="Times New Roman" w:eastAsia="仿宋_GB2312"/>
                <w:snapToGrid w:val="0"/>
                <w:kern w:val="0"/>
                <w:szCs w:val="21"/>
              </w:rPr>
              <w:t>1</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开展用餐人员膳食调查与健康状况调查，得</w:t>
            </w:r>
            <w:r>
              <w:rPr>
                <w:rFonts w:ascii="Times New Roman" w:eastAsia="仿宋_GB2312"/>
                <w:snapToGrid w:val="0"/>
                <w:kern w:val="0"/>
                <w:szCs w:val="21"/>
              </w:rPr>
              <w:t>2</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24.</w:t>
            </w:r>
            <w:r>
              <w:rPr>
                <w:rFonts w:ascii="Times New Roman" w:eastAsia="仿宋_GB2312"/>
                <w:snapToGrid w:val="0"/>
                <w:kern w:val="0"/>
                <w:szCs w:val="21"/>
              </w:rPr>
              <w:t>定期评估总结食堂在组织管理、环境建设、供餐服务、人员管理方面所做的工作，在多方面人群中开展对食堂满意度调查以及收集对食堂提升营养健康工作的建议。</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开展总结评估，得</w:t>
            </w:r>
            <w:r>
              <w:rPr>
                <w:rFonts w:ascii="Times New Roman" w:eastAsia="仿宋_GB2312"/>
                <w:snapToGrid w:val="0"/>
                <w:kern w:val="0"/>
                <w:szCs w:val="21"/>
              </w:rPr>
              <w:t>3</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评估内容要素齐全，得</w:t>
            </w:r>
            <w:r>
              <w:rPr>
                <w:rFonts w:ascii="Times New Roman" w:eastAsia="仿宋_GB2312"/>
                <w:snapToGrid w:val="0"/>
                <w:kern w:val="0"/>
                <w:szCs w:val="21"/>
              </w:rPr>
              <w:t>3</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开展满意度调查，得</w:t>
            </w:r>
            <w:r>
              <w:rPr>
                <w:rFonts w:ascii="Times New Roman" w:eastAsia="仿宋_GB2312"/>
                <w:snapToGrid w:val="0"/>
                <w:kern w:val="0"/>
                <w:szCs w:val="21"/>
              </w:rPr>
              <w:t>3</w:t>
            </w:r>
            <w:r>
              <w:rPr>
                <w:rFonts w:ascii="Times New Roman" w:eastAsia="仿宋_GB2312"/>
                <w:snapToGrid w:val="0"/>
                <w:kern w:val="0"/>
                <w:szCs w:val="21"/>
              </w:rPr>
              <w:t>分</w:t>
            </w:r>
          </w:p>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开展食堂提升工作建议收集，得</w:t>
            </w:r>
            <w:r>
              <w:rPr>
                <w:rFonts w:ascii="Times New Roman" w:eastAsia="仿宋_GB2312"/>
                <w:snapToGrid w:val="0"/>
                <w:kern w:val="0"/>
                <w:szCs w:val="21"/>
              </w:rPr>
              <w:t>1</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jc w:val="center"/>
        </w:trPr>
        <w:tc>
          <w:tcPr>
            <w:tcW w:w="906" w:type="dxa"/>
            <w:vMerge/>
            <w:vAlign w:val="center"/>
          </w:tcPr>
          <w:p w:rsidR="008B3C22" w:rsidRDefault="008B3C22" w:rsidP="00592EFB">
            <w:pPr>
              <w:pStyle w:val="a3"/>
              <w:ind w:firstLineChars="0" w:firstLine="0"/>
              <w:jc w:val="center"/>
              <w:rPr>
                <w:rFonts w:ascii="Times New Roman" w:eastAsia="仿宋"/>
                <w:szCs w:val="21"/>
              </w:rPr>
            </w:pPr>
          </w:p>
        </w:tc>
        <w:tc>
          <w:tcPr>
            <w:tcW w:w="6986"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25.</w:t>
            </w:r>
            <w:r>
              <w:rPr>
                <w:rFonts w:ascii="Times New Roman" w:eastAsia="仿宋_GB2312"/>
                <w:snapToGrid w:val="0"/>
                <w:kern w:val="0"/>
                <w:szCs w:val="21"/>
              </w:rPr>
              <w:t>结合单位体检，评估食堂对用餐人员健康状况的影响。</w:t>
            </w:r>
          </w:p>
        </w:tc>
        <w:tc>
          <w:tcPr>
            <w:tcW w:w="775" w:type="dxa"/>
            <w:vMerge/>
            <w:vAlign w:val="center"/>
          </w:tcPr>
          <w:p w:rsidR="008B3C22" w:rsidRDefault="008B3C22" w:rsidP="00592EFB">
            <w:pPr>
              <w:pStyle w:val="a3"/>
              <w:ind w:firstLineChars="0" w:firstLine="0"/>
              <w:jc w:val="left"/>
              <w:rPr>
                <w:rFonts w:ascii="Times New Roman" w:eastAsia="仿宋_GB2312"/>
                <w:snapToGrid w:val="0"/>
                <w:kern w:val="0"/>
                <w:szCs w:val="21"/>
              </w:rPr>
            </w:pPr>
          </w:p>
        </w:tc>
        <w:tc>
          <w:tcPr>
            <w:tcW w:w="851" w:type="dxa"/>
            <w:vAlign w:val="center"/>
          </w:tcPr>
          <w:p w:rsidR="008B3C22" w:rsidRDefault="008B3C22"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99" w:type="dxa"/>
            <w:vAlign w:val="center"/>
          </w:tcPr>
          <w:p w:rsidR="008B3C22" w:rsidRDefault="008B3C22"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评估单位营养健康食堂建设对用餐人员健康状况的影响，得</w:t>
            </w:r>
            <w:r>
              <w:rPr>
                <w:rFonts w:ascii="Times New Roman" w:eastAsia="仿宋_GB2312"/>
                <w:snapToGrid w:val="0"/>
                <w:kern w:val="0"/>
                <w:szCs w:val="21"/>
              </w:rPr>
              <w:t>5</w:t>
            </w:r>
            <w:r>
              <w:rPr>
                <w:rFonts w:ascii="Times New Roman" w:eastAsia="仿宋_GB2312"/>
                <w:snapToGrid w:val="0"/>
                <w:kern w:val="0"/>
                <w:szCs w:val="21"/>
              </w:rPr>
              <w:t>分</w:t>
            </w:r>
          </w:p>
        </w:tc>
        <w:tc>
          <w:tcPr>
            <w:tcW w:w="879" w:type="dxa"/>
            <w:vAlign w:val="center"/>
          </w:tcPr>
          <w:p w:rsidR="008B3C22" w:rsidRDefault="008B3C22" w:rsidP="00592EFB">
            <w:pPr>
              <w:widowControl/>
              <w:jc w:val="left"/>
              <w:rPr>
                <w:rFonts w:ascii="Times New Roman" w:eastAsia="仿宋_GB2312" w:hAnsi="Times New Roman"/>
                <w:snapToGrid w:val="0"/>
                <w:kern w:val="0"/>
                <w:szCs w:val="21"/>
              </w:rPr>
            </w:pPr>
          </w:p>
        </w:tc>
      </w:tr>
      <w:tr w:rsidR="008B3C22" w:rsidTr="00592EFB">
        <w:trPr>
          <w:trHeight w:val="460"/>
          <w:jc w:val="center"/>
        </w:trPr>
        <w:tc>
          <w:tcPr>
            <w:tcW w:w="906" w:type="dxa"/>
            <w:vAlign w:val="center"/>
          </w:tcPr>
          <w:p w:rsidR="008B3C22" w:rsidRDefault="008B3C22" w:rsidP="00592EFB">
            <w:pPr>
              <w:pStyle w:val="a3"/>
              <w:ind w:firstLineChars="0" w:firstLine="0"/>
              <w:jc w:val="center"/>
              <w:rPr>
                <w:rFonts w:ascii="Times New Roman" w:eastAsia="仿宋"/>
                <w:szCs w:val="21"/>
              </w:rPr>
            </w:pPr>
            <w:r>
              <w:rPr>
                <w:rFonts w:ascii="Times New Roman" w:eastAsia="仿宋"/>
                <w:szCs w:val="21"/>
              </w:rPr>
              <w:t>合计</w:t>
            </w:r>
          </w:p>
        </w:tc>
        <w:tc>
          <w:tcPr>
            <w:tcW w:w="6986" w:type="dxa"/>
            <w:vAlign w:val="center"/>
          </w:tcPr>
          <w:p w:rsidR="008B3C22" w:rsidRDefault="008B3C22" w:rsidP="00592EFB">
            <w:pPr>
              <w:pStyle w:val="a3"/>
              <w:ind w:firstLineChars="0" w:firstLine="0"/>
              <w:jc w:val="left"/>
              <w:rPr>
                <w:rFonts w:ascii="Times New Roman" w:eastAsia="仿宋"/>
                <w:sz w:val="24"/>
                <w:szCs w:val="24"/>
              </w:rPr>
            </w:pPr>
          </w:p>
        </w:tc>
        <w:tc>
          <w:tcPr>
            <w:tcW w:w="775" w:type="dxa"/>
            <w:vAlign w:val="center"/>
          </w:tcPr>
          <w:p w:rsidR="008B3C22" w:rsidRDefault="008B3C22" w:rsidP="00592EFB">
            <w:pPr>
              <w:widowControl/>
              <w:jc w:val="left"/>
              <w:rPr>
                <w:rFonts w:ascii="Times New Roman" w:eastAsia="仿宋" w:hAnsi="Times New Roman"/>
                <w:sz w:val="24"/>
              </w:rPr>
            </w:pPr>
          </w:p>
        </w:tc>
        <w:tc>
          <w:tcPr>
            <w:tcW w:w="851" w:type="dxa"/>
            <w:vAlign w:val="center"/>
          </w:tcPr>
          <w:p w:rsidR="008B3C22" w:rsidRDefault="008B3C22" w:rsidP="00592EFB">
            <w:pPr>
              <w:widowControl/>
              <w:jc w:val="center"/>
              <w:rPr>
                <w:rFonts w:ascii="Times New Roman" w:eastAsia="仿宋" w:hAnsi="Times New Roman"/>
                <w:sz w:val="24"/>
              </w:rPr>
            </w:pPr>
            <w:r>
              <w:rPr>
                <w:rFonts w:ascii="Times New Roman" w:eastAsia="仿宋_GB2312" w:hAnsi="Times New Roman"/>
                <w:snapToGrid w:val="0"/>
                <w:kern w:val="0"/>
                <w:szCs w:val="21"/>
              </w:rPr>
              <w:t>100</w:t>
            </w:r>
          </w:p>
        </w:tc>
        <w:tc>
          <w:tcPr>
            <w:tcW w:w="4299" w:type="dxa"/>
            <w:vAlign w:val="center"/>
          </w:tcPr>
          <w:p w:rsidR="008B3C22" w:rsidRDefault="008B3C22" w:rsidP="00592EFB">
            <w:pPr>
              <w:pStyle w:val="a3"/>
              <w:ind w:firstLineChars="0" w:firstLine="0"/>
              <w:jc w:val="left"/>
              <w:rPr>
                <w:rFonts w:ascii="Times New Roman" w:eastAsia="仿宋"/>
                <w:sz w:val="24"/>
                <w:szCs w:val="24"/>
              </w:rPr>
            </w:pPr>
          </w:p>
        </w:tc>
        <w:tc>
          <w:tcPr>
            <w:tcW w:w="879" w:type="dxa"/>
            <w:vAlign w:val="center"/>
          </w:tcPr>
          <w:p w:rsidR="008B3C22" w:rsidRDefault="008B3C22" w:rsidP="00592EFB">
            <w:pPr>
              <w:widowControl/>
              <w:jc w:val="left"/>
              <w:rPr>
                <w:rFonts w:ascii="Times New Roman" w:eastAsia="仿宋" w:hAnsi="Times New Roman"/>
                <w:sz w:val="24"/>
              </w:rPr>
            </w:pPr>
          </w:p>
        </w:tc>
      </w:tr>
    </w:tbl>
    <w:p w:rsidR="008B3C22" w:rsidRDefault="008B3C22" w:rsidP="008B3C22">
      <w:pPr>
        <w:spacing w:beforeLines="50" w:line="440" w:lineRule="exact"/>
        <w:ind w:firstLineChars="200" w:firstLine="420"/>
        <w:jc w:val="left"/>
        <w:rPr>
          <w:rFonts w:ascii="Times New Roman" w:eastAsia="仿宋_GB2312" w:hAnsi="Times New Roman"/>
          <w:snapToGrid w:val="0"/>
          <w:kern w:val="0"/>
          <w:szCs w:val="21"/>
        </w:rPr>
      </w:pPr>
      <w:r>
        <w:rPr>
          <w:rFonts w:ascii="Times New Roman" w:eastAsia="仿宋_GB2312" w:hAnsi="Times New Roman"/>
          <w:snapToGrid w:val="0"/>
          <w:kern w:val="0"/>
          <w:szCs w:val="21"/>
        </w:rPr>
        <w:t>1.</w:t>
      </w:r>
      <w:r>
        <w:rPr>
          <w:rFonts w:ascii="Times New Roman" w:eastAsia="仿宋_GB2312" w:hAnsi="Times New Roman"/>
          <w:snapToGrid w:val="0"/>
          <w:kern w:val="0"/>
          <w:szCs w:val="21"/>
        </w:rPr>
        <w:t>由评估人员按照上表进行现场考核并评估，必备项不满足或评分不足</w:t>
      </w:r>
      <w:r>
        <w:rPr>
          <w:rFonts w:ascii="Times New Roman" w:eastAsia="仿宋_GB2312" w:hAnsi="Times New Roman"/>
          <w:snapToGrid w:val="0"/>
          <w:kern w:val="0"/>
          <w:szCs w:val="21"/>
        </w:rPr>
        <w:t>70</w:t>
      </w:r>
      <w:r>
        <w:rPr>
          <w:rFonts w:ascii="Times New Roman" w:eastAsia="仿宋_GB2312" w:hAnsi="Times New Roman"/>
          <w:snapToGrid w:val="0"/>
          <w:kern w:val="0"/>
          <w:szCs w:val="21"/>
        </w:rPr>
        <w:t>分的，不作为营养健康食堂评定。评分</w:t>
      </w:r>
      <w:r>
        <w:rPr>
          <w:rFonts w:ascii="Times New Roman" w:eastAsia="仿宋_GB2312" w:hAnsi="Times New Roman"/>
          <w:snapToGrid w:val="0"/>
          <w:kern w:val="0"/>
          <w:szCs w:val="21"/>
        </w:rPr>
        <w:t>90</w:t>
      </w:r>
      <w:r>
        <w:rPr>
          <w:rFonts w:ascii="Times New Roman" w:eastAsia="仿宋_GB2312" w:hAnsi="Times New Roman"/>
          <w:snapToGrid w:val="0"/>
          <w:kern w:val="0"/>
          <w:szCs w:val="21"/>
        </w:rPr>
        <w:t>分以上可认定为营养健康食堂示范单位。</w:t>
      </w:r>
    </w:p>
    <w:p w:rsidR="008B3C22" w:rsidRDefault="008B3C22" w:rsidP="008B3C22">
      <w:pPr>
        <w:spacing w:line="440" w:lineRule="exact"/>
        <w:ind w:firstLineChars="200" w:firstLine="420"/>
        <w:jc w:val="left"/>
        <w:rPr>
          <w:rFonts w:ascii="Times New Roman" w:eastAsia="仿宋_GB2312" w:hAnsi="Times New Roman"/>
          <w:snapToGrid w:val="0"/>
          <w:kern w:val="0"/>
          <w:szCs w:val="21"/>
        </w:rPr>
      </w:pPr>
      <w:r>
        <w:rPr>
          <w:rFonts w:ascii="Times New Roman" w:eastAsia="仿宋_GB2312" w:hAnsi="Times New Roman"/>
          <w:snapToGrid w:val="0"/>
          <w:kern w:val="0"/>
          <w:szCs w:val="21"/>
        </w:rPr>
        <w:t>2.</w:t>
      </w:r>
      <w:r>
        <w:rPr>
          <w:rFonts w:ascii="Times New Roman" w:eastAsia="仿宋_GB2312" w:hAnsi="Times New Roman"/>
          <w:snapToGrid w:val="0"/>
          <w:kern w:val="0"/>
          <w:szCs w:val="21"/>
        </w:rPr>
        <w:t>抽查和监督。组织考核单位对营养健康食堂实施不定期抽查，原则上示范单位</w:t>
      </w:r>
      <w:r>
        <w:rPr>
          <w:rFonts w:ascii="Times New Roman" w:eastAsia="仿宋_GB2312" w:hAnsi="Times New Roman"/>
          <w:snapToGrid w:val="0"/>
          <w:kern w:val="0"/>
          <w:szCs w:val="21"/>
        </w:rPr>
        <w:t>12</w:t>
      </w:r>
      <w:r>
        <w:rPr>
          <w:rFonts w:ascii="Times New Roman" w:eastAsia="仿宋_GB2312" w:hAnsi="Times New Roman"/>
          <w:snapToGrid w:val="0"/>
          <w:kern w:val="0"/>
          <w:szCs w:val="21"/>
        </w:rPr>
        <w:t>个月内至少检查</w:t>
      </w:r>
      <w:r>
        <w:rPr>
          <w:rFonts w:ascii="Times New Roman" w:eastAsia="仿宋_GB2312" w:hAnsi="Times New Roman"/>
          <w:snapToGrid w:val="0"/>
          <w:kern w:val="0"/>
          <w:szCs w:val="21"/>
        </w:rPr>
        <w:t>1</w:t>
      </w:r>
      <w:r>
        <w:rPr>
          <w:rFonts w:ascii="Times New Roman" w:eastAsia="仿宋_GB2312" w:hAnsi="Times New Roman"/>
          <w:snapToGrid w:val="0"/>
          <w:kern w:val="0"/>
          <w:szCs w:val="21"/>
        </w:rPr>
        <w:t>次。达不到要求的，给予</w:t>
      </w:r>
      <w:r>
        <w:rPr>
          <w:rFonts w:ascii="Times New Roman" w:eastAsia="仿宋_GB2312" w:hAnsi="Times New Roman"/>
          <w:snapToGrid w:val="0"/>
          <w:kern w:val="0"/>
          <w:szCs w:val="21"/>
        </w:rPr>
        <w:t>1</w:t>
      </w:r>
      <w:r>
        <w:rPr>
          <w:rFonts w:ascii="Times New Roman" w:eastAsia="仿宋_GB2312" w:hAnsi="Times New Roman"/>
          <w:snapToGrid w:val="0"/>
          <w:kern w:val="0"/>
          <w:szCs w:val="21"/>
        </w:rPr>
        <w:t>个月的整改期限，期限时间到达后仍达不到要求的，取消示范单位评定。</w:t>
      </w:r>
    </w:p>
    <w:p w:rsidR="008B3C22" w:rsidRDefault="008B3C22" w:rsidP="008B3C22">
      <w:pPr>
        <w:rPr>
          <w:rFonts w:ascii="Times New Roman" w:hAnsi="Times New Roman"/>
        </w:rPr>
      </w:pPr>
    </w:p>
    <w:p w:rsidR="00A41D03" w:rsidRPr="008B3C22" w:rsidRDefault="00A41D03"/>
    <w:sectPr w:rsidR="00A41D03" w:rsidRPr="008B3C22" w:rsidSect="008B3C2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B3C22"/>
    <w:rsid w:val="008B3C22"/>
    <w:rsid w:val="00A41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rsid w:val="008B3C22"/>
    <w:pPr>
      <w:autoSpaceDE w:val="0"/>
      <w:autoSpaceDN w:val="0"/>
      <w:ind w:firstLineChars="200" w:firstLine="200"/>
      <w:jc w:val="both"/>
    </w:pPr>
    <w:rPr>
      <w:rFonts w:ascii="宋体"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2022-06-30T02:13:00Z</dcterms:created>
  <dcterms:modified xsi:type="dcterms:W3CDTF">2022-06-30T02:14:00Z</dcterms:modified>
</cp:coreProperties>
</file>