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955"/>
        <w:gridCol w:w="3240"/>
      </w:tblGrid>
      <w:tr w:rsidR="000B23C3" w:rsidRPr="000B23C3" w:rsidTr="000B23C3">
        <w:trPr>
          <w:trHeight w:val="37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附表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B23C3" w:rsidRPr="000B23C3" w:rsidTr="000B23C3">
        <w:trPr>
          <w:trHeight w:val="40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</w:rPr>
              <w:t>     2022年8月浙江省法定传染病发病、死亡统计表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疾病病种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发病数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死亡数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甲乙丙类总计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63035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45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  甲乙类传染病合计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10016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45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鼠疫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霍乱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传染性非典型肺炎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艾滋病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病毒性肝炎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甲型肝炎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乙型肝炎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1433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丙型肝炎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丁型肝炎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戊型肝炎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肝炎未分型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脊髓灰质炎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人</w:t>
            </w:r>
            <w:proofErr w:type="gramStart"/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感染高</w:t>
            </w:r>
            <w:proofErr w:type="gramEnd"/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致病性禽流感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麻疹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流行性出血热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狂犬病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流行性乙型脑炎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登革热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炭疽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细菌性和阿米巴性痢疾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肺结核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伤寒与副伤寒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流行性脑脊髓膜炎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百日咳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白喉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新生儿破伤风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猩红热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布鲁氏菌病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淋病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1207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梅毒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2942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钩端螺旋体病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血吸虫病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疟疾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   人感染H7N9禽流感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新型冠状病毒肺炎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  丙类传染病合计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53019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流行性感冒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38834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流行性腮腺炎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风疹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急性出血性结膜炎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麻风病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斑疹伤寒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黑热病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包虫病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丝虫病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其它感染性腹泻病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9882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手足口病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3941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3C3" w:rsidRPr="000B23C3" w:rsidRDefault="000B23C3" w:rsidP="000B23C3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B23C3" w:rsidRPr="000B23C3" w:rsidTr="000B23C3">
        <w:trPr>
          <w:trHeight w:val="28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注：病毒性肝炎的发病数和死亡数为甲肝、乙肝、丙肝、丁肝、戊肝和未分型肝炎报告发病数和死亡数的合计</w:t>
            </w:r>
          </w:p>
        </w:tc>
      </w:tr>
      <w:tr w:rsidR="000B23C3" w:rsidRPr="000B23C3" w:rsidTr="000B23C3">
        <w:trPr>
          <w:trHeight w:val="43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23C3" w:rsidRPr="000B23C3" w:rsidRDefault="000B23C3" w:rsidP="000B23C3">
            <w:pPr>
              <w:widowControl/>
              <w:ind w:firstLine="150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B23C3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浙江省疾病预防控制中心公共卫生监测与业务指导所提供</w:t>
            </w:r>
          </w:p>
        </w:tc>
      </w:tr>
    </w:tbl>
    <w:p w:rsidR="006968E9" w:rsidRPr="000B23C3" w:rsidRDefault="006968E9"/>
    <w:sectPr w:rsidR="006968E9" w:rsidRPr="000B23C3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B23C3"/>
    <w:rsid w:val="000B23C3"/>
    <w:rsid w:val="006968E9"/>
    <w:rsid w:val="007B5C79"/>
    <w:rsid w:val="00FB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3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2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2022-09-08T01:29:00Z</dcterms:created>
  <dcterms:modified xsi:type="dcterms:W3CDTF">2022-09-08T01:30:00Z</dcterms:modified>
</cp:coreProperties>
</file>