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hwcg2021-64-001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标段名称：荧光定量PCR仪+离心机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杭州安誉科技有限公司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总分85.71，排名第二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杭州诺丁科学器材有限公司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总分84.88，排名第三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浙江汇益科技有限公司</w:t>
            </w:r>
          </w:p>
        </w:tc>
        <w:tc>
          <w:tcPr>
            <w:tcW w:w="35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总分80.99，排名第四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56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2EA72F2"/>
    <w:rsid w:val="203716BB"/>
    <w:rsid w:val="234D01AF"/>
    <w:rsid w:val="267430A8"/>
    <w:rsid w:val="2920148E"/>
    <w:rsid w:val="37EB6906"/>
    <w:rsid w:val="39DC3C89"/>
    <w:rsid w:val="3F142852"/>
    <w:rsid w:val="44A20BB2"/>
    <w:rsid w:val="4933114B"/>
    <w:rsid w:val="4AD0415A"/>
    <w:rsid w:val="4C741D14"/>
    <w:rsid w:val="52754A82"/>
    <w:rsid w:val="5A20385E"/>
    <w:rsid w:val="5B1A3FD5"/>
    <w:rsid w:val="5D8001C3"/>
    <w:rsid w:val="600218C1"/>
    <w:rsid w:val="60377415"/>
    <w:rsid w:val="672B2501"/>
    <w:rsid w:val="6DFE0476"/>
    <w:rsid w:val="71557BDB"/>
    <w:rsid w:val="75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2021-10-22T06:50:17Z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AF2386728BF74C50A5C36D6FED8023FE</vt:lpwstr>
  </property>
</Properties>
</file>